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3d3352cd8e4f35" /></Relationships>
</file>

<file path=word/document.xml><?xml version="1.0" encoding="utf-8"?>
<w:document xmlns:w="http://schemas.openxmlformats.org/wordprocessingml/2006/main">
  <w:body>
    <w:tbl>
      <w:tblPr>
        <w:tblW w:w="9000" w:type="dxa"/>
        <w:tblBorders>
          <w:top w:val="nil"/>
          <w:bottom w:val="nil"/>
          <w:left w:val="nil"/>
          <w:right w:val="nil"/>
          <w:insideH w:val="nil"/>
          <w:insideV w:val="nil"/>
        </w:tblBorders>
        <w:tblCellSpacing w:w="60" w:type="dxa"/>
        <w:shd w:val="clear" w:color="auto" w:fill="E7F0F9"/>
      </w:tblPr>
      <w:tblGrid>
        <w:gridCol w:w="1200"/>
        <w:gridCol w:w="4500"/>
      </w:tblGrid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RKP broj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34977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Naziv obveznika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DOM ZDRAVLJA VINKOVCI</w:t>
            </w:r>
          </w:p>
        </w:tc>
      </w:tr>
      <w:tr>
        <w:tc>
          <w:tcPr>
            <w:tcW w:w="1200" w:type="pct"/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rPr>
                <w:b/>
              </w:rPr>
              <w:t xml:space="preserve">Razina</w:t>
            </w:r>
          </w:p>
        </w:tc>
        <w:tc>
          <w:tcPr>
            <w:shd w:val="clear" w:color="auto" w:fill="E7F0F9"/>
          </w:tcPr>
          <w:p>
            <w:pPr>
              <w:spacing w:before="0" w:after="0" w:line="240" w:lineRule="auto"/>
              <w:jc w:val="left"/>
            </w:pPr>
            <w:r>
              <w:t xml:space="preserve">31</w:t>
            </w:r>
          </w:p>
        </w:tc>
      </w:tr>
    </w:tbl>
    <w:p>
      <w:r>
        <w:br/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BILJEŠKE UZ FINANCIJSKE IZVJEŠTAJE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ZA RAZDOBLJE</w:t>
      </w:r>
    </w:p>
    <w:p>
      <w:pPr>
        <w:jc w:val="center"/>
        <w:pStyle w:val="Normal"/>
        <w:spacing w:line="240" w:lineRule="auto"/>
      </w:pPr>
      <w:r>
        <w:rPr>
          <w:b/>
          <w:sz w:val="28"/>
          <w:rFonts w:ascii="Times New Roman" w:hAnsi="Times New Roman"/>
        </w:rPr>
        <w:t xml:space="preserve">I - XII 2025.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prihodima i rashodima, primicima i izdacima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0" w:type="auto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POSLOVANJA (šifre 61+62+63+64+65+66+67+68)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10.122.125,68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10.796.859,96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106,7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POSLOVANJA (šifre 31+32+34+35+36+37+38)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10.906.791,13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11.391.316,84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104,4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POSLOVANJA (šifre Z005-6)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784.665,45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594.456,88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75,8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nefinancijske imovine (šifre 71+72+73+74)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443,54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464,23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104,7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155.788,84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181.532,37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116,5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OD NEFINANCIJSKE IMOVINE (šifre 4-7)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155.345,30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181.068,14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116,6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Primici od financijske imovine i zaduživanja (šifre 81+82+83+84+85)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Izdaci za financijsku imovinu i otplate zajmova (šifre 51+52+53+54+55)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VIŠAK/MANJAK PRIMITAKA OD FINANCIJSKE IMOVINE I ZADUŽIVANJA (šifre 8-5, 5-8)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X003, Y003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-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MANJAK PRIHODA I PRIMITAKA (šifre Y345-X678)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Y005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940.010,75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775.525,02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82,5</w:t>
            </w:r>
          </w:p>
        </w:tc>
      </w:tr>
    </w:tbl>
    <w:p>
      <w:pPr>
        <w:spacing w:before="0" w:after="0"/>
      </w:pPr>
    </w:p>
    <w:p>
      <w:r>
        <w:t xml:space="preserve">U razdoblju od 01.01.2025. do 31.12.2025. godine prihodi poslovana ostvareni su u iznosu 10.796.859,96 €. Najveće povećanje prihoda ostvareno je od pomoći subjekata unutar općeg proračuna / Vlade  za podmirenje obveza za lijekove i potrošni medicinski materijal. Najznačajnije smanjenje ako gledamo indeks prihoda bilježi se na prihodima od kamata na depozite po viđenju  (indexs 36,4) zbog smanjenja kamatnih stopa.</w:t>
      </w:r>
    </w:p>
    <w:p>
      <w:r>
        <w:t xml:space="preserve">Rashodi poslovanja u razdoblju 01.01. do 31.12.2025. ostvareni su u iznosu 11.391.316,84 €. Najznačajnije povećanje rashoda evidentirano je na rashodima za zaposlene uslijed povećanja plaća kao i prekovremenog rada (rad liječnika DZ Vinkovci u timovima u kojima trenutno nedostaje liječnika), zdravstvene usluge (rad liječnika iz privatne prakse u DZ Vinkovci u timovima u kojima trenutno nedostaje liječnika) i intelektualne usluge (rad liječnika iz drugih zdravstvenih ustanova u DZ Vinkovci u timovima u kojima trenutno nedostaje liječnika). </w:t>
      </w:r>
    </w:p>
    <w:p>
      <w:r>
        <w:t xml:space="preserve">U navedenom razdoblju ostvareni prihodi od prodaje nefinancijske imovine (stanovi u otkupu) iznose 464,23 €, dok su rashodi za nabavu nefinancijske imovine ostvareni u iznosu od 181.532,37 €. </w:t>
      </w:r>
    </w:p>
    <w:p>
      <w:r>
        <w:t xml:space="preserve">U razdoblju 01.01.01. do 31.12.2025. ostvaren je manjak prihoda za pokriće u slijedećem razdoblju u iznosu 1.691.385,78 €.</w:t>
      </w:r>
    </w:p>
    <w:p>
      <w:r>
        <w:t xml:space="preserve">Stanje dospjelih obveza na kraju 2025. godine iznosi 1.191.066,22 €, a rezultat je raskoraka u ostvarenim prihodima u odnosu na rashode odnosno dospjele obveze.</w:t>
      </w:r>
    </w:p>
    <w:p>
      <w:r>
        <w:br/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proračunskim korisnicima iz proračuna koji im nije nadležan (šifre 6361+6362)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3.284,67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235.231,00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7161,5</w:t>
            </w:r>
          </w:p>
        </w:tc>
      </w:tr>
    </w:tbl>
    <w:p>
      <w:pPr>
        <w:spacing w:before="0" w:after="0"/>
      </w:pPr>
    </w:p>
    <w:p>
      <w:r>
        <w:t xml:space="preserve">U skladu s Odlukom Vlade RH zdravstvenim ustanovama doznačena su sredstva namjenske pomoći za podmirenje dospjelih obveza prema dobavljačima lijekova, potrošnog medicinskog materijala, Domu zdravlja Vinkovci 235.231,00 €.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Pomoći temeljem prijenosa EU sredstava (šifre 6381+6382)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638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118.691,88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128.090,81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107,9</w:t>
            </w:r>
          </w:p>
        </w:tc>
      </w:tr>
    </w:tbl>
    <w:p>
      <w:pPr>
        <w:spacing w:before="0" w:after="0"/>
      </w:pPr>
    </w:p>
    <w:p>
      <w:r>
        <w:t xml:space="preserve">Ovi prihodi odnose se na EU projekt "Specijalističko Usavršavanje doktora medicine..." iz Mehanizma za oporavak i otpornost 2021.-2026.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Kamate na oročena sredstva i depozite po viđenju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6413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614,18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223,55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36,4</w:t>
            </w:r>
          </w:p>
        </w:tc>
      </w:tr>
    </w:tbl>
    <w:p>
      <w:pPr>
        <w:spacing w:before="0" w:after="0"/>
      </w:pPr>
    </w:p>
    <w:p>
      <w:r>
        <w:t xml:space="preserve">Prihodi od kamata na depozite po viđenju smanjena su zbog smanjena kamatnih stopa.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Ostali nespomenuti prihodi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6526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377.267,63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455.466,02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120,7</w:t>
            </w:r>
          </w:p>
        </w:tc>
      </w:tr>
    </w:tbl>
    <w:p>
      <w:pPr>
        <w:spacing w:before="0" w:after="0"/>
      </w:pPr>
    </w:p>
    <w:p>
      <w:r>
        <w:t xml:space="preserve">Ostali nespomenuti prihodi prihodi od sudjelovanja/participacija povećani su s obzirom na povećanje cijena zdravstvenih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Prihodi od prodaje proizvoda i robe te pruženih usluga (šifre 6614+6615)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661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1.679.275,59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1.914.304,18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114,0</w:t>
            </w:r>
          </w:p>
        </w:tc>
      </w:tr>
    </w:tbl>
    <w:p>
      <w:pPr>
        <w:spacing w:before="0" w:after="0"/>
      </w:pPr>
    </w:p>
    <w:p>
      <w:r>
        <w:t xml:space="preserve">Prihodi od prodaje proizvoda i usluga veći su zbog povećanja cijena zdravstvenih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7.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Plaće za prekovremeni rad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3113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75.060,15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102.641,27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136,7</w:t>
            </w:r>
          </w:p>
        </w:tc>
      </w:tr>
    </w:tbl>
    <w:p>
      <w:pPr>
        <w:spacing w:before="0" w:after="0"/>
      </w:pPr>
    </w:p>
    <w:p>
      <w:r>
        <w:t xml:space="preserve">S obzirom na problem nedostatka liječnika koji bi radili na razini PZZ a u cilju osiguravanja dostupnosti zdrastvene zaštite liječnici zaposlenici DZ Vinkovci svojom maksimalnom angažiramošću - prekovremeni rad osiguravaju dostupnost iste.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8.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Službena, radna i zaštitna odjeća i obuća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3227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1.897,04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9.094,36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479,4</w:t>
            </w:r>
          </w:p>
        </w:tc>
      </w:tr>
    </w:tbl>
    <w:p>
      <w:pPr>
        <w:spacing w:before="0" w:after="0"/>
      </w:pPr>
    </w:p>
    <w:p>
      <w:r>
        <w:t xml:space="preserve">U ovoj 2025. godini za zdravstvene djelatnike nabavljena je nova radna odjeća i obuća.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9.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Zdravstvene i veterinarske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13.942,30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65.875,99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472,5</w:t>
            </w:r>
          </w:p>
        </w:tc>
      </w:tr>
    </w:tbl>
    <w:p>
      <w:pPr>
        <w:spacing w:before="0" w:after="0"/>
      </w:pPr>
    </w:p>
    <w:p>
      <w:r>
        <w:t xml:space="preserve">S obzirom na nedostatak liječnika obiteljske medicine u DZ Vinkovci angažirani su i liječnici iz privatne prakse kako bi se osigurala dostupnost zdravstvenih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10.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Intelektualne i osobne usluge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3237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59.178,39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117.369,78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198,3</w:t>
            </w:r>
          </w:p>
        </w:tc>
      </w:tr>
    </w:tbl>
    <w:p>
      <w:pPr>
        <w:spacing w:before="0" w:after="0"/>
      </w:pPr>
    </w:p>
    <w:p>
      <w:r>
        <w:t xml:space="preserve">S obzirom na nedostatak liječnika obiteljske medicine u DZ Vinkovci angažirani su i liječnici iz drugih zdravstvenih ustanova kako bi se osigurala dostupnost zdravstvenih usluga.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11.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Rashodi za nabavu nefinancijske imovine (šifre 41+42+43+44+45)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155.788,84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181.532,37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116,5</w:t>
            </w:r>
          </w:p>
        </w:tc>
      </w:tr>
    </w:tbl>
    <w:p>
      <w:pPr>
        <w:spacing w:before="0" w:after="0"/>
      </w:pPr>
    </w:p>
    <w:p>
      <w:r>
        <w:t xml:space="preserve">Rashodi za nabavu nefinancijske imovine vršeni su u skladu sa potrebama DZ Vinkovci.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12.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prethodne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Ostvareno u izvještajnom razdoblju tekuće godine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 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UKUPAN MANJAK PRIHODA (šifre Y034-X067)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Y004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940.010,75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775.525,02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82,5</w:t>
            </w:r>
          </w:p>
        </w:tc>
      </w:tr>
    </w:tbl>
    <w:p>
      <w:pPr>
        <w:spacing w:before="0" w:after="0"/>
      </w:pPr>
    </w:p>
    <w:p>
      <w:r>
        <w:t xml:space="preserve">I u 2025. godini ostvaren je manjak prihoda razlog ostvareni prihodi nisu dostatni za pokrivanje redovnih troškova koji su uglavnom zadani (plaće, cijene tekućih usluga).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Bilanca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13.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Obveze za ostale financijske rashode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2343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490,95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1.041,30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212,1</w:t>
            </w:r>
          </w:p>
        </w:tc>
      </w:tr>
    </w:tbl>
    <w:p>
      <w:pPr>
        <w:spacing w:before="0" w:after="0"/>
      </w:pPr>
    </w:p>
    <w:p>
      <w:r>
        <w:t xml:space="preserve">Cijene bankarskih usluga za redovno poslovanje su povećane.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14.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1. siječnja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Stanje 31. prosinca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Manjak prihoda i primitaka (šifre 92221 do 92223)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923.521,16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1.691.385,78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183,1</w:t>
            </w:r>
          </w:p>
        </w:tc>
      </w:tr>
    </w:tbl>
    <w:p>
      <w:pPr>
        <w:spacing w:before="0" w:after="0"/>
      </w:pPr>
    </w:p>
    <w:p>
      <w:r>
        <w:t xml:space="preserve">I u 2025. godini ostvaren je manjak prihoda - razlog ostvareni prihodi nisu dostatni za pokrivanje redovnih troškova koji su uglavnom zadani (plaće, cijene tekućih usluga).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Promjene u vrijednosti i obujmu imovine i obveza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15.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povećanja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 smanjenja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Promjene u vrijednosti i obujmu imovine (šifre 91511+91512)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9151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0,00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181.737,60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Promjene u vrijednosti imovine odnose se na ispravak vrijednosti dugotrajne nefinancijske imovine za 2025. godinu i isknjiženje knjigovodstvene vrijednosti imovine koja je rashodovana po godišnjoj inventuri.</w:t>
      </w:r>
    </w:p>
    <w:p/>
    <w:p>
      <w:pPr>
        <w:jc w:val="center"/>
        <w:pStyle w:val="Normal"/>
        <w:spacing w:line="240" w:lineRule="auto"/>
        <w:keepNext/>
      </w:pPr>
      <w:r>
        <w:rPr>
          <w:b/>
          <w:sz w:val="28"/>
          <w:rFonts w:ascii="Times New Roman" w:hAnsi="Times New Roman"/>
        </w:rPr>
        <w:t xml:space="preserve">Izvještaj o obvezama</w:t>
      </w:r>
    </w:p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16.</w:t>
      </w:r>
    </w:p>
    <w:tbl>
      <w:tblPr>
        <w:tblBorders>
          <w:top w:val="single" w:color="BABABA" w:sz="12"/>
          <w:bottom w:val="single" w:color="BABABA" w:sz="12"/>
          <w:left w:val="single" w:color="BABABA" w:sz="12"/>
          <w:right w:val="single" w:color="BABABA" w:sz="12"/>
          <w:insideH w:val="single" w:color="BABABA" w:sz="8"/>
          <w:insideV w:val="single" w:color="DADADA" w:sz="8"/>
        </w:tblBorders>
        <w:tblW w:w="9000" w:type="dxa"/>
        <w:tblLayout w:type="fixed"/>
        <w:tblCellMar>
          <w:left w:w="40" w:type="dxa"/>
          <w:right w:w="40" w:type="dxa"/>
        </w:tblCellMar>
      </w:tblPr>
      <w:tblGrid>
        <w:gridCol w:w="700"/>
        <w:gridCol w:w="3180"/>
        <w:gridCol w:w="700"/>
        <w:gridCol w:w="1860"/>
        <w:gridCol w:w="700"/>
      </w:tblGrid>
      <w:tr>
        <w:trPr>
          <w:cantSplit/>
        </w:trPr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Račun iz rač. plana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Opis stavke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Šifra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Iznos</w:t>
            </w:r>
          </w:p>
        </w:tc>
        <w:tc>
          <w:tcPr>
            <w:shd w:val="clear" w:color="auto" w:fill="E7F0F9"/>
            <w:tcMar>
              <w:top w:w="0" w:type="dxa"/>
              <w:bottom w:w="0" w:type="dxa"/>
            </w:tcMar>
            <w:vAlign w:val="center"/>
          </w:tcPr>
          <w:p>
            <w:pPr>
              <w:jc w:val="center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  <w:b/>
              </w:rPr>
              <w:t>Indeks (%)</w:t>
            </w:r>
          </w:p>
        </w:tc>
      </w:tr>
      <w:tr>
        <w:trPr>
          <w:trHeight w:val="560" w:hRule="atLeast"/>
          <w:cantSplit/>
        </w:trPr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/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Stanje dospjelih obveza na kraju izvještajnog razdoblja (šifre V008+D23+D24 + 'D dio 25,26' + D27)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lef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V007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1.191.066,22</w:t>
            </w:r>
          </w:p>
        </w:tc>
        <w:tc>
          <w:tcPr>
            <w:tcMar>
              <w:top w:w="0" w:type="dxa"/>
              <w:bottom w:w="0" w:type="dxa"/>
            </w:tcMar>
            <w:vAlign w:val="center"/>
          </w:tcPr>
          <w:p>
            <w:pPr>
              <w:jc w:val="right"/>
              <w:pStyle w:val="Normal"/>
              <w:spacing w:before="0" w:after="0" w:line="240" w:lineRule="auto"/>
              <w:keepNext/>
              <w:keepLines/>
            </w:pPr>
            <w:r>
              <w:rPr>
                <w:sz w:val="18"/>
                <w:rFonts w:ascii="Times New Roman" w:hAnsi="Times New Roman"/>
              </w:rPr>
              <w:t>-</w:t>
            </w:r>
          </w:p>
        </w:tc>
      </w:tr>
    </w:tbl>
    <w:p>
      <w:pPr>
        <w:spacing w:before="0" w:after="0"/>
      </w:pPr>
    </w:p>
    <w:p>
      <w:r>
        <w:t xml:space="preserve">Stanje dospjelih obveza je povećano - razlog nedostatni prihodi za pokriće tekućih trškova (plaće, redovni tekući troškovi) samim tim obveze za lijekove (a dospjele obveze se najvećim dijelom odnose upravo na lijekove i potrošni medicinski materijal) ne podmiruju se u valuti.</w:t>
      </w:r>
    </w:p>
    <w:p/>
    <w:p>
      <w:pPr>
        <w:jc w:val="center"/>
        <w:pStyle w:val="Normal"/>
        <w:spacing w:line="240" w:lineRule="auto"/>
        <w:keepNext/>
      </w:pPr>
      <w:r>
        <w:rPr>
          <w:sz w:val="28"/>
          <w:rFonts w:ascii="Times New Roman" w:hAnsi="Times New Roman"/>
        </w:rPr>
        <w:t xml:space="preserve">Bilješka 17.</w:t>
      </w:r>
    </w:p>
    <w:p>
      <w:pPr>
        <w:jc w:val="both"/>
        <w:pStyle w:val="Normal"/>
        <w:spacing w:line="240" w:lineRule="auto"/>
      </w:pPr>
      <w:r>
        <w:rPr>
          <w:b/>
          <w:sz w:val="24"/>
          <w:rFonts w:ascii="Times New Roman" w:hAnsi="Times New Roman"/>
        </w:rPr>
        <w:t xml:space="preserve">EU izvještaj</w:t>
      </w:r>
    </w:p>
    <w:p>
      <w:r>
        <w:t xml:space="preserve">Ukupni prihodi ostvareni na temelju ugovora o "Specijalističkom usavršavanju doktora medicine..." iznose 128.090,81 € odnose se na razdoblje 9-12/2024. i 01-09/2025. godine. Ukupni troškovi za razdoblje 01.01. - 31.12.2025. iznose 130.062,29 €. </w:t>
      </w:r>
    </w:p>
    <w:p/>
  </w:body>
</w:document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sz w:val="24"/>
      </w:rPr>
    </w:rPrDefault>
  </w:docDefaults>
  <w:style w:type="paragraph" w:styleId="Normal" w:default="true">
    <w:name w:val="Normal"/>
    <w:rPr>
      <w:rFonts w:ascii="Times New Roman" w:hAnsi="Times New Roman"/>
      <w:sz w:val="24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bed2ce1e7b224dfa" /></Relationships>
</file>